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12.09.2019 исковые требования удовлетворены. Постановлением Девятого арбитражного апелляционного суда от 13.12.2019 решение суда первой инстанции отменено, в удовлетворении исковых требований отказано. Постановлением Арбитражного суда Московского округа от 01.06.2020 постановление суда апелляционной инстанции оставлено без изменения. В кассационной жалобе, поданной в Верховный Суд Российской Федерации, фирма, ссылаясь на нарушение судами апелляционной инстанции и округа норм материального и процессуального права, просит отменить их постановления и оставить в силе решение суда первой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для пересмотра обжалуемых судебных актов в кассационном порядке по доводам, изложенным заявителем жалобы, не установлено. Отменяя решение суда первой инстанции и отказывая в удовлетворении исковых требований, суд апелляционной инстанции, с которым впоследствии согласился суд округа, руководствуясь статьями 307, 309, 310, 401, 453, 702, 753, 1102 Гражданского кодекса Российской Федерации, оценив по правилам статьи 71 Арбитражного процессуального кодекса Российской Федерации представленные в материалы дела доказательства, исходил из подтвержденности факта выполнения ответчиком работ, передачи их результата истцу до расторжения договоров и отсутствия доказательств предъявления последним претензий относительно результата выполненных работ. Доводы кассационной жалобы, в том числе о неправомерном приобщении апелляционным судом дополнительных доказательств, не свидетельствуют о существенном нарушении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«Проектно-производственная фирма «Мастер»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