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Арбитражного суда города Санкт-Петербурга и Ленинградской области от 07.07.2019, оставленным без изменения постановлением Тринадцатого арбитражного апелляционного суда от 19.12.2019 и постановлением Арбитражного суда Северо-Западного округа от 01.06.2020, иск удовлетворен. В кассационной жалобе, поданной в Верховный Суд Российской Федерации, институт,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соответствующий арбитражный суд.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8, 153, 307, 431 Гражданского кодекса Российской Федерации, суды первой и апелляционной инстанций, с которыми впоследствии согласился суд округа, пришли к выводу о наличии оснований для удовлетворения иска, исходя из установленных обстоятельств, подтверждающих наличие у института обязанности по оплате выполненных обществом работ. Выводы судов подробно мотивированы в обжалуемых судебных актах. Доводы кассационной жалобы не опровергают выводы судов, аналогичны доводам, ранее заявлявшимся в судах и получившим правовую оценку,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«Научно-исследовательский и проектно-конструкторский институт энергетических технологий «АТОМПРОЕКТ»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