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24.10.2019, оставленным без изменения постановлением Девятого арбитражного апелляционного суда от 14.01.2020 и постановлением Арбитражного суда Московского округа от 01.06.2020, в удовлетворении исковых требований отказано. В кассационной жалобе, поданной в Верховный Суд Российской Федерации, предприниматель, ссылаясь на нарушение судами норм права, несоответствие их выводов фактическим обстоятельствам дела, просит отменить указанные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Отказывая в удовлетворении требований предпринимателя, получившего право требования взыскания денежных средств на основании договора цессии с третьим лицом (участником долевого строительства), суд первой инстанции, с выводами которого согласились суды апелляционной инстанции и округа, руководствовался статьями 309 , 310 Гражданского кодекса Российской Федерации,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исходил из установленных обстоятельств, свидетельствующих о недоказанности факта передачи ответчиком третьему лицу помещения меньшей площади, чем предусмотрено договором участия в долевом строительстве.Доводы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а по существу свидетельствуют о несогласии с выводами судов, основанными на исследовании и оценке представленных в материалы дела доказательств, переоценка которых не входит в полномочия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ООО "МОСКОВСКАЯ ОБУВНАЯ ФАБРИКА ИМЕНИ Г.В. МУХАНОВА"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