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31.07.2019, оставленным без изменения постановлением Девятого арбитражного апелляционного суда от 20.01.2020 и постановлением Арбитражного суда Московского округа от 30.07.2020, в удовлетворении заявленного требования отказано. В кассационной жалобе, поданной в Верховный Суд Российской Федерации, РЭК Свердловской области,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оспоренного приказа послужил вывод антимонопольного органа о нарушении заявителем законодательства в области государственного регулирования цен (тарифов) в сфере теплоснабжения, что выразилось в экономической необоснованности включения в состав необходимой валовой выручки общества расходов по ряду статей затрат. Оценив представленные в материалы дела доказательства, суды, руководствуясь положениями статей 9, 12, 13, 16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Основами ценообразования в сфере теплоснабжения и Правилами регулирования тарифов в сфере теплоснабжения, утвержденными постановлением Правительства Российской Федерации от 22.10.2012 № 1075,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пришли к выводу о том, что оспоренный приказ соответствует закону, вынесен в пределах полномочий ФАС России, с соблюдением процедуры и срока проведения проверки. 3 При этом судебные инстанции указали на доказанность антимонопольным органом несоблюдения РЭК Свердловской области порядка и процедуры установления регулируемых цен (тарифов) для общества. В частности, в представленных заявителем экспертных заключениях по ряду статей расходов, заявленных обществом, не отражен анализ их экономической обоснованности со ссылкой на соответствующие материалы и документы, в связи с чем установление экономически обоснованного уровня расходов не представляется возможным. Доводы, изложенные в кассационной жалобе, повторяют позицию заявителя по спору, являлись предметом рассмотрения судов и получили надлежащую правовую оценку, не опровергают их выводы и не подтверждают существенных нарушений норм материального и процессуального права, повлиявших на исход дела. Несогласие заявителя с выводами судов, иная оценка им фактических обстоятельств дела и иное применение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