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08.10.2019, оставленным без изменения постановлением Третьего арбитражного апелляционного суда от 31.01.2020 и постановлением Арбитражного суда Восточно-Сибирского округа от 07.07.2020, в удовлетворении заявленных требований отказано. 2 В кассационной жалобе, поданной в Верховный Суд Российской Федерации, конкурсный управляющий,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жалоба на действия конкурсного управляющего при проведении открытых электронных торгов по продаже имущества общества (должник). Решением управления жалоба признана обоснованной, а организатор торгов нарушившим требования статьи 110 Федерального закона от 26.10.2002 № 127-ФЗ «О несостоятельности (банкротстве)» (далее – Закон о банкротстве). В целях устранения нарушений выдано предписание. Считая ненормативные акты антимонопольного органа незаконными, конкурсный управляющий обратился в арбитражный суд. Оценив представленные в материалы дела доказательства, суды установили, что в первоначальном объявлении о проведении торгов и после внесения изменений в газете «Коммерсантъ» отсутствовали сведения относительно порядка, времени, начала и окончания представления заявок; порядка оформления участия в торгах, перечня представляемых участниками торгов документов и требований к их оформлению; о дате, времени и месте подведения результатов торгов. Также в сообщениях в Едином федеральном реестре сведений о банкротстве не имеется сведений о периодах последовательного снижения начальной цены и порядке расчета срока, по истечении которого последовательно снижается начальная цена. Учитывая установленные обстоятельства, руководствуясь положениями статьи 110 Закона о банкротстве,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Министерства экономического развития Российской Федерации от 23.07.2015 № 495, принимая во внимание существенное нарушение конкурсным управляющим порядка проведения торгов, судебные инстанции пришли к выводу о наличии у управления правовых оснований для принятия решения и предписания. 3 Доводы, изложенные в кассационной жалобе, повторяют позицию конкурсного управляющего по спору, не опровергают выводы судов, являлись предметом их рассмотрения и обоснованно отклонены с учетом установленных обстоятельств дела и положений законодательства о банкротстве. Приведенные доводы не подтверждают существенных нарушений норм материального и процессуального права, повлиявших на исход дела, по существу, выражают несогласие с выводами судов по фактическим обстоятельствам спора,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«ЭНИМЭЛС» Ботовой Ольге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