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03.12.2019 в удовлетворении требования об отмене решения налогового органа в части доначисления 41 940 305 рублей НДС, взыскания 2 097 015 рублей штрафа и 8 559 614 рублей пени отказано; в остальной части требования оставлены без рассмотрения. 2 Постановлением Двенадцатого арбитражного апелляционного суда от 14.02.2020, оставленным без изменения постановлением Арбитражного суда Поволжского округа от 17.06.2020, решение суда первой инстанции отменено в части оставления требований без рассмотрения; в остальной части судебный акт оставлен без изменения.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оспариваемой части послужил вывод налогового органа о неисполнении предпринимателем обязанности налогового агента по исчислению, удержанию и перечислению в бюджет суммы НДС по сделке приобретения муниципального имущества по договору купли-продажи от 23.01.2017 № 613, заключенному между Комитетом по управлению имуществом Администрации Энгельсского муниципального района (далее – комитет) и обществом с ограниченной ответственности «Грэйн Рич» (далее - общество). Исследовав и оценив представленные в материалы дела доказательства, суды установили, что муниципальное имущество по функциональным характеристикам предназначено для использования в предпринимательской деятельности и приобретено заявителем с целью извлечения дохода от передачи в аренду за плату. Доказательств использования газового хозяйства для удовлетворения личных, семейных, бытовых и иных потребностей, не связанных с предпринимательской деятельностью, не представлено. При этом согласно условиям договоров купли-продажи муниципального имущества, НДС не входит в цену продажи объектов и подлежит уплате покупателем самостоятельно в порядке и сроки, установленные действующим законодательством. Учитывая установленные обстоятельства, принимая во внимание перечисление денежных средств в счет оплаты стоимости приобретаемых по договору купли-продажи объектов муниципального имущества без налога, судебные инстанции, руководствуясь положениями статей 11, 24, 39, 146, 161 3 Налогового кодекса Российской Федерации, пришли к выводу о наличии у инспекции правовых оснований для доначисления 41 940 305 рублей НДС, начисления соответствующих пеней и штрафа ввиду доказанности неисполнения предпринимателем обязанности налогового агента по уплате в бюджет НДС со сделки по приобретению муниципального имущества. Доводы, изложенные в кассационной жалобе, являлись предметом рассмотрения судов и получили надлежащую правовую оценку с учетом фактических обстоятельств настоящего дела. Приведенные доводы не опровергают выводы судов,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Невейницыну Станиславу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