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09.10.2019, оставленным без изменения постановлениями Девятого арбитражного апелляционного суда от 03.02.2020 и Арбитражного суда Московского округа от 02.07.2020,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комитета (заказчик), уполномоченного органа, аукционной комиссии при проведении электронного аукциона на право заключения муниципального контракта на выполнение работ по строительству объекта, выразившиеся в неправомерном отклонении заявки общества, антимонопольным органом принято решение от 21.06.2019 по делу № 50/06/19840эп/19 о признании жалобы необоснованной. Данные обстоятельства послужили основанием для обращения общества в арбитражный суд с соответствующим заявлением.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суды, руководствуясь положениями статей 66, 67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оснований для удовлетворения требований общества. Судебные инстанции исходили из законности и соответствия оспариваемых действий по отклонению заявки общества и решения управления положениям законодательства Российской Федерации о контрактной системе в сфере закупок. Суды установили, что в силу положений инструкции по заполнению заявок на участие в аукционе, требований документации об аукционе, при заполнении заявки по показателю «Длина труб» необходимо было указать интервал значений не ниже минимального значения, установленного заказчиком, например: 1-6; не менее 1 не более 6; 1...6 или 16, при этом в заявке общества по товару «Трубы медные» по показателю «Длина труб» указано значение «6», что противоречит положениям инструкции по заполнению заявок на участие в аукционе и не соответствует требованиям документации о нем.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Доводы жалобы повторяют правовую позицию общества по существу спора, выражают несогласие с выводами судов по обстоятельствам спора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Судами не допущено существенных нарушений норм процессуального права, являющихся безусловным основанием для отмены судебных актов, как это предусмотрено частью 4 статьи 288 Арбитражного процессуального кодекса.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«СУ-555»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ГРУППА КОМПАНИЙ "СТРОИТЕЛЬНОЕ УПРАВЛЕНИЕ-555" (подробнее) Ответчики: КОМИТЕТ ГРАДОСТРОИТЕЛЬСТВА АДМИНИСТРАЦИИ НАРО-ФОМИНСКОГО ГОРОДСКОГО ОКРУГА (подробнее) КОМИТЕТ ПО КОНКУРЕНТНОЙ ПОЛИТИКЕ МОСКОВСКОЙ ОБЛАСТИ (подробнее)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