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17.10.2019 в удовлетворении заявленных требований отказано. Постановлением Двадцать первого арбитражного апелляционного суда от 17.03.2020, оставленным без изменения постановлением Арбитражного суда Центрального округа от 29.07.2020, решение суда первой инстанции отменено в части отказа в признании незаконным предписания управления и требование 2 учреждения в указанной части удовлетворено. В остальной части решение суда от 17.10.2019 оставлено без изменения.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постановление суда округа и направить дело на новое рассмотрение в суд кассационной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управление с жалобой на действия заказчика при проведении электронного аукциона на выполнение строительно-монтажных работ по объекту «Школа Гагаринский район, проспект Октябрьский, ул. Революции, 54 (корпус начальной школы № 37)». Решением антимонопольного органа жалоба общества признана частично обоснованной, в действиях учреждения установлены нарушения пункта 1 части 1 статьи 64, пункта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В целях устранения нарушений выдано предписание. Считая ненормативные акты незаконными, учреждение обратилось в арбитражный суд. Рассматривая спор, суды первой и апелляционной инстанций, руководствуясь положениями статей 8, 33, 64, 66, 106 Закона о контрактной системе, согласились с выводами антимонопольного органа об установлении заказчиком в документации и извещении о закупке не относящихся к предмету закупки и неоправданных требований к товарам (материалам), используемым для выполнения работ (оказания услуг), что ограничивает доступ к участию в аукционе, в связи с чем признали решение управления законным. Вместе с тем, отменяя решение суда в части отказа в признании незаконным предписания антимонопольного органа, суд апелляционной инстанции, руководствуясь статьей 99 Закона о контрактной системе, принимая во внимание правовую позицию, изложенную в определении Судебной 3 коллегии по экономическим спорам Верховного Суда Российской Федерации от 17.10.2019 № 308-ЭС19-10710, исходил из неисполнимости оспариваемого предписания ввиду содержания неконкретных и неясных формулировок. Суд округа поддержал выводы суда апелляционной инстанции. Довод о том, что суд апелляционной инстанции вышел за пределы заявления учреждения, не нашел своего подтверждения в ходе рассмотрения кассационной жалобы, учитывая, что исполнимость предписания является важным требованием к данному виду ненормативного акта и одним из элементов его законности. Доводы, изложенные в кассационной жалобе, не свидетельствуют о существенных нарушениях норм материального и процессуального права, повлиявших на исход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Крым и городу Севастополю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