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05.11.2019, оставленным без изменения постановлением Девятого арбитражного апелляционного суда от 12.02.2020 и постановлением Арбитражного суда Московского округа от 16.06.2020,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проведен конкурс в электронной форме на право заключения договора на выполнение комплекса работ по эксплуатационному обслуживанию инженерных сетей (систем) и инженерно-технического оборудования. Согласно протоколу заседания тендерной комиссии на участие в закупочной процедуре подано две заявки, включая заявку ООО «ГК Сервис ПРО Инжиниринг», победителем признан участник процедуры закупки с номером заявки 12748, которому присвоено 87,28 баллов. ООО «ГК Сервис ПРО Инжиниринг» присвоено второе место с итоговой оценкой 83,21 баллов (по критерию № 1 «Цена договора» - 70 баллов; по критерию № 2 «Наличие опыта по успешному выполнению работ сопоставимого характера и объёма» - 5,71 баллов; по критерию № 3 «Деловая репутация участника закупки» - 7,5 баллов). Не согласившись с присвоением по критерию № 2 «Наличие опыта по успешному выполнению работ сопоставимого характера и объёма» оценки - 5,71 балла, общество обратилось с жалобой в антимонопольный орган. По результатам рассмотрения жалоба ООО «ГК Сервис ПРО Инжиниринг» признана обоснованной, в действиях заказчика установлены нарушения пункта 1 части 1 статьи 3 Федерального закона от 18.07.2011 № 223-ФЗ «О закупках товаров, работ, услуг отдельными видами юридических лиц» (далее - Закон о закупках) и выдано предписание об устранении выявленных нарушений. Не согласившись с решением управления, общество обратилось в суд. Исследовав и оценив представленные в материалах дела доказательства, суды первой и апелляционной инстанций, руководствуясь положениями Закона о закупках, Федерального Закона от 26.07.2006 № 135-ФЗ «О защите конкуренции», пришли к выводу о том, что решение антимонопольного органа соответствует законодательству и не нарушает прав и законных интересов общества, с чем согласился суд округа. Судебные инстанции установили, что заказчиком при оценке заявки участника ООО «ГК Сервис ПРО Инжиниринг» по спорному критерию не были учтены представленные обществом договоры. 3 Суды указали, что предоставленное заявителю право самостоятельно определять перечень подлежащих указанию в итоговом протоколе закупки сведений не свидетельствует о соблюдении им требований действующего законодательства о закупках и не освобождает последнего от обязанности по детальному раскрытию сведений о причинах принятого им решения по результатам закупочной процедуры непосредственно в итоговом протоколе такой процедуры на основании пункта 1 части 1 статьи 3 Закона о закупках. Таким образом, действия общества по формированию протокола привели к нарушению права участника закупки на получение объективной и достоверной информации о причинах его поражения в спорной закупочной процедуре, что послужило основанием для вынесения антимонопольным органом соответствующего решения. Доводы заявителя жалобы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