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15.10.2019, оставленным без изменения постановлением Восемнадцатого арбитражного апелляционного суда от 10.12.2019, в удовлетворении заявленного требования отказано. Постановлением Арбитражного суда Уральского округа от 15.06.2020 указанные судебные акты оставлены без изменения. В кассационной жалобе общество ставит вопрос об отмене обжалуемых судебных актов в связи с допущенными, по его мнению, нарушениями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том, что общество нарушило установленный порядок учета алкогольной и спиртосодержащей продукции. Статьей 14.19 Кодекса Российской Федерации об административных правонарушениях установлена административная ответственность за нарушение установленного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порядка учета объема производства, оборота и (или) использования этилового спирта, алкогольной и спиртосодержащей продукции или порядка учета использования производственных мощностей,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порядке.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правонарушения, ответственность за которое предусмотрена статьей 14.19 Кодекса Российской Федерации об административных правонарушениях.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не установлено. Доводы жалобы об истечении срока давности привлечения к административной ответственности были предметом исследования судов и им дана соответствующая правовая оценка применительно к установленным обстоятельствам, свидетельствующим о том, что общество, зная о наличии обязанности по своевременному внесению в ЕГАИС действительных сведений о фактических остатках алкогольной продукции, длительное время не исполняло такую обязанности, и продолжало нарушать установленный порядок учета алкогольной и спиртосодержащей продукции.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"ТАНДЕР" (подробнее) Ответчики: Министерство экономического развития, промышленной и торговли Оренбургской области (подробнее) Иные лица: Арбитражный суд Уральского округа (подробнее) Восемнадцатый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