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 арбитражный управляющий привлечен к административной ответственности, предусмотренной частью 3 статьи 14.13 Кодекса Российской Федерации об административных правонарушениях, и ему назначено административное наказание в виде предупреждения. 2 Постановлением Девятого арбитражного апелляционного суда от 04.02.2020 решение суда первой инстанции отменено, в удовлетворении заявленных требований отказано. Постановлением Арбитражного суда Московского округа от 25.06.2020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заявления о привлечении к административной ответственности, суд апелляционной инстанции признал недоказанным административным органом наличие вины в действиях арбитражного управляющего, что свидетельствует об отсутствии в его действиях состава административного правонарушения. Суд округа согласился с выводами суда апелляционной инстанции исходя из представленных в материалы дела доказательств и положений Федерального закона от 26.10.2002 № 127-ФЗ «О несостоятельности (банкротстве)» в части 3 раскрытия информации о привлечении контролирующих должника лиц к ответственности.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