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30.08.2019, оставленным без изменения постановлением Шестнадцатого арбитражного апелляционного суда от 25.03.2020, в удовлетворении первоначального иска отказано, встречный иск удовлетворен частично, с учреждения в пользу общества взыскано 1 518 658,95 рублей пени. Постановлением Арбитражного суда Северо-Кавказского округа от 15.07.2020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отказали в удовлетворении первоначального иска, признав, что общество исполнило обязательства по поставке товара надлежащего качества; встречный иск удовлетворен частично, поскольку учреждение не исполнило обязательства по приемке поставленного обществом товара, размер пени снижен судом на основании статьи 333 Гражданского кодекса Российской Федерации. Доводы жалобы были предметом исследования судов и получили исчерпывающую правовую оценку применительно к установленным обстоятельствам и представленным доказательствам,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 региональное отделение Фонда социального страхования РФ по РД (подробнее) ГУ РО ФСС РФ по РД (подробнее) Ответчики: ООО "М - ВТК" (подробнее) Иные лица: СПИ ОИСП по Советскому району г. Махачкалы (подробнее) Судьи дела: Першутов А.Г.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