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01.11.2019, оставленным без изменения постановлением Пятнадцатого арбитражного апелляционного суда от 10.01.2020 и постановлением Арбитражного суда Северо-Кавказского округа от 16.06.2020, исковое требование удовлетворено.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предпринимателю в 2014 и 2016 годах на праве собственности принадлежали земельные участки с кадастровыми номерами 23:05:0604000:86 и 23:05:0604000:87. Налоговым уведомлением инспекция предложила предпринимателю уплатить 2 214 580 рублей земельного налога. Неисполнение обязанности по уплате налога послужило основанием для выставления налоговым органом требования от 20.12.2017 № 18192 об уплате 2 214 580 рублей земельного налога за 2014 и 2016 годы и 10 888 рублей 35 копеек пеней по данному налогу за период с 02.12.2017 по 19.12.2017, со сроком исполнения до 13.02.2018. Поскольку указанная в требовании задолженность предпринимателем в установленный срок не погашена, инспекция обратилась с настоящим иском в арбитражный суд. Оценив представленные в материалы дела доказательства, суды первой и апелляционной инстанций, руководствуясь положениями статей 45 , 46, 69 , 70 , 398 Налогового кодекса Российской Федерации, пришли к выводу о наличии оснований для удовлетворения заявления налогового органа ввиду неисполнения предпринимателем на дату рассмотрения иска обязанности по уплате задолженности по земельному налогу и пеней в размерах и сроки, указанные в требовании инспекции. Суд округа поддержал выводы судов двух инстанций. Ссылка на двойное взыскание задолженности по налогу не принимается, поскольку при рассмотрении спора по существу предприниматель на данное обстоятельство не ссылался. Полномочиями по исследованию и установлению новых обстоятельств суд, рассматривающий дело в порядке кассационного производства, не наделен. Иные доводы, изложенные в кассационной жалобе, в том числе о пропуске срока на обращение инспекции с заявлением в арбитражный суд и необоснованности восстановления данного срока, являлись предметом рассмотрения судов и получили надлежащую правовую оценку с учетом установленных обстоятельств дела. Приведенные доводы не опровергают выводы судов, не свидетельствуют о допущенной при рассмотрении дела судебной ошибке, не подтверждают существенных нарушений норм материального и процессуального права, повлиявших на исход дела, и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ИФНС России №3 по г. Краснодару (подробнее) ФНС России Инспекция №3 по г. Краснодару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