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30.09.2019, оставленным без изменения постановлением Девятого арбитражного апелляционного суда от 20.01.2020 и постановлением Арбитражного суда Московского округа от 02.07.2020, в удовлетворении заявленного требования отказано. 2 В кассационной жалобе, поданной в Верховный Суд Российской Федерации, РЭК Свердловской области,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оспоренного приказа послужил вывод антимонопольного органа о нарушении заявителем законодательства при определении плановых (расчетных) и фактических значений расходов (цен) в части установления тарифов для общества. Оценив представленные в материалы дела доказательства, суды, руководствуясь положениями статей 9, 12, 13, 16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Основами ценообразования в области регулируемых цен (тарифов) в электроэнергетике и Правилами государственного регулирования (пересмотра, применения) цен (тарифов) в электроэнергетике, утвержденными постановлением Правительства Российской Федерации от 29.12.2011 № 1178 «О ценообразовании в области регулируемых цен (тарифов) в электроэнергетике», Положением о государственном контроле (надзоре) в области регулируемых государством цен (тарифов), утвержденным постановлением Правительства Российской Федерации от 27.06.2013 № 543, Методическими указаниями по расчету тарифов на услуги по передаче электрической энергии, устанавливаемых с применением метода долгосрочной индексации необходимой валовой выручки, утвержденными приказом ФСТ России от 17.02.2012 № 98-э, пришли к выводу о том, что оспоренный приказ соответствует закону, вынесен ФАС России в пределах предоставленных полномочий, с соблюдением процедуры и срока проведения проверки. При этом судебные инстанции указали, что при определении плановых (расчетных) и фактических значений расходов (цен) в части установления тарифов для общества РЭК Свердловской области неправомерно основывалась исключительно данными, указанными в тарифной заявке регулируемой организации; анализ финансово – экономической деятельности общества надлежащим образом не проведен. 3 Доводы, изложенные в кассационной жалобе, повторяют позицию заявителя по спору, являлись предметом рассмотрения и получили надлежащую правовую оценку судов, не опровергают их выводы и не подтверждают существенных нарушений норм материального и процессуального права, повлиявших на исход дела. Несогласие заявителя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