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12.07.2019, оставленным без изменения постановлением Одиннадцатого арбитражного апелляционного суда от 04.12.2019 и постановлением Арбитражного суда Поволжского округа от 10.06.2020,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выездной налоговой проверки за период с 17.03.2015 по 31.12.2016 инспекция пришла к выводу о занижении обществом налоговой базы по налогу на прибыль в связи с неправомерным невключением в состав доходов сумм дебиторской задолженности ООО «Нубис» (пункт 2.4.1.1 решения инспекции). Оценив представленные в материалы дела доказательства, в том числе первичные документы ООО «Ремстрой» (оборотно-сальдовые ведомости, карточки счета), суды, руководствуясь положениями статьи 172 Налогового кодекса Российской Федерации (далее – Налоговый кодекс), статьи 2 Гражданского кодекса Российской Федерации, правовой позицией, изложенной в пункте 9 информационного письма Президиума Высшего Арбитражного Суда Российской Федерации от 17.11.2011 № 148 «Обзор практики разрешения арбитражными судами дел, связанных с применением отдельных положений главы 30 Налогового кодекса Российской Федерации», пришли к выводу о наличии у налогового органа правовых оснований для принятия решения в указанной части. Судебные инстанции исходили из того, что получение денежных средств по договору займа отражено обществом в бухгалтерском учете, факт возврата денежных средств не отражен, что является основанием для включения дебиторской задолженности в состав доходов общества в целях исчисления налога на прибыль. Доказательств необоснованности включения дебиторской задолженности в доходы общества по договору займа либо доказательств изменения данных регистров бухгалтерского учета заявителем не представлено. Признавая законным пункт 2.4.2 решения инспекции, суды, руководствуясь статьями 256, 257, 268 Налогового кодекса, согласились с выводом налогового органа о неправомерном единовременном включении обществом в состав прочих расходов убытков от реализации амортизируемого имущества (буровой станок) в размере 4 289 575 рублей. Суды указали, что данный убыток с учетом положений пункта 3 статьи 268 Налогового кодекса подлежал включению в состав прочих расходов равными долями в течение 49 месяцев - срока, определяемого как разница между сроком полезного использования имущества (60 месяцев) и фактическим сроком его эксплуатации до момента реализации (11 месяцев). Соответственно, доля убытка, принимаемая для целей налогообложения налога на прибыль 3 организаций за 2016 год, составляет 714 929 рублей (5 003 504 рублей / 49 мес.) x 7 месяцев (с июня по декабрь 2016 года). По эпизоду доначисления налога на добавленную стоимость в связи с отказом в праве на применение налоговых вычетов с авансов, перечисленных в адрес поставщиков – обществ с ограниченной ответственностью «Компания Стар» и «Комплекс» (пункт 2.2.3 решения инспекции), суды установили, что представленные заявителем договоры поставки названными организациями не подписаны, при этом предусматривают порядок расчетов в виде перечисления покупателем 100 процентов предоплаты на расчетный счет поставщика. Доказательств согласования условий о предварительной оплате товара обществом не представлено. При таких обстоятельствах, учитывая положения статей 169, 171, 172 Налогового кодекса, суды признали правомерными выводы налогового органа о несоблюдении обществом условий применения налогового вычета по уплаченным авансовым платежам. Доводы, изложенные в кассационной жалобе, являлись предметом рассмотрения судов, получили правовую оценку с учетом установленных обстоятельств и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