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29.10.2019, оставленным без изменения постановлением Семнадцатого арбитражного апелляционного суда от 05.02.2020 и постановлением Арбитражного суда Уральского округа от 03.07.2020, в удовлетворении заявленных требований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«Вектор-Юг» обратилось в антимонопольный орган с жалобой о нарушении учреждением (заказчик), департаментом (уполномоченный орган) и аукционной комиссией законодательства о контрактной системе при осуществлении закупки путем проведения электронного аукциона на поставку расходного материала. Решением управления жалоба признана частично обоснованной, в действиях учреждения и департамента нарушений не выявлено, в действиях аукционной комиссии установлено нарушение части 4 статьи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целях устранения нарушения выдано предписание. Считая ненормативные акты антимонопольного органа незаконными, департамент обратился в арбитражный суд. Оценив представленные в материалы дела доказательства, суды, руководствуясь положениями статей 33, 64, 66, 67 Закона о контрактной системе, пришли к выводу о наличии у управления правовых оснований для принятия оспоренных решения и предписания ввиду доказанности неправомерного допуска к участию в аукционе на поставку медицинского расходного материала ООО «Болюсмед», которое предложило к поставке товар, несоответствующий потребности заказчика. Судебные инстанции указали, что в описании объекта закупки документации электронного аукциона на поставку расходного материала установлены требования к функциональным, техническим и качественным характеристикам поставляемого товара, а именно: «Шприцы SSS-CTP-SPK* для рентгенконтрастных веществ и физиологического раствора к устройству для внутривенного введения Stellant СТ Sx, производство ФИО1 Кэа Инк., США». Таким образом, заказчику необходимы оригинальные шприцы SSS-CTP-SPK производства США. Вместе с тем, ООО «Болюсмед» в первой части заявки на участие в электронном аукционе представлены следующие характеристики товара: «Шприцы полностью соответствуют SSS-CTP-SPK* для рентген-контрастных веществ и физиологического раствора к устройству для внутривенного введения Stellant СТ Sx, производство Байер Медикал Кэа Инк., США», страна происхождения товара - Китай. При этом документов, свидетельствующих о совместимости предложенного товара с оборудованием заказчика, участником не представлено. Доводы, изложенные в кассационной жалобе, повторяют позицию общества по спору, не опровергают выводы судов и с учетом установленных обстоятельств не подтверждают существенных нарушений норм материального и процессуального права, повлиявших на исход дела. Несогласие департамента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государственных закупок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государственных закупок Свердловской области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