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Салават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309-ЭС20-15260 ОПРЕДЕЛЕНИ Е г. Москва 05 октября 2020 г. Судья Верховного Суда Российской Федерации Антонова М.К., изучив кассационную жалобу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04.02.2020, оставленным без изменения постановлениями Восемнадцатого арбитражного апелляционного суда от 03.06.2020 и Арбитражного суда Уральского округа от 12.08.2020, в удовлетворении заявленного требования отказано. В кассационной жалобе, поданной в Верховный Суд Российской Федерации, администрация ссылается на существенное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рассмотрев обращения физического лица на действия администрации, выразившиеся в утверждении перечня предоставляемых муниципальных услуг без такой муниципальной услуги, как предоставление выкопировки из генерального плана городского округа, антимонопольный орган пришел к выводу о наличии в действиях администрации признаков нарушения части 1 статьи 15 Федерального закона от 26.07.2006 № 135-ФЗ «О защите конкуренции» (далее - Закон о защите конкуренции). Данные обстоятельства послужили основанием для выдачи предупреждения, которое оспорено администрацией в арбитражном суде.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части 1 статьи 15, статьи 39.1 Закона о защите конкуренции, Градостроительного кодекса Российской Федерации, Федерального закона от 27.07.2010 № 210-ФЗ «Об организации предоставления государственных и муниципальных услуг» (далее - Закон № 210-ФЗ), Федерального закона от 06.10.2003 № 131-ФЗ «Об общих принципах организации местного самоуправления в Российской Федерации», суды пришли к выводу о том, что ненормативный акт управления соответствует положениям действующего законодательства, не нарушает прав и законных интересов заявителя. При этом судебные инстанции исходили из того, что предоставление выкопировки из генерального плана по смыслу пункта 2 статьи 2 Закона № 210-ФЗ относится к категории муниципальных услуг, предоставляемых органами местного самоуправления, поскольку генеральный план является нормативным правовым актом, утверждение которого относится к вопросам местного значения. Суды указали, что отсутствие услуги по предоставлению выкопировки из генерального плана городского округа в перечне предоставляемых администрацией муниципальных услуг, утвержденном постановлением Главы администрации от 10.01.2018 № 34-п, может привести к недопущению, ограничению, устранению конкуренции, в том числе посредством представления отсутствующей в перечне услуги каким-либо единственным хозяйствующим субъектом за определенную плату. 3 Несогласие администрации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ошибки, не свидетельствуют о существенных нарушениях судами норм права, повлиявших на исход дела, и не являются достаточным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городского округа город Салават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