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Липецкой области от 30.08.2019 предприниматель привлечена к административной ответственности, предусмотренной частью 2 статьи 14.1 Кодекса Российской Федерации об административных правонарушениях, и ей назначено наказание в виде предупреждения. Постановлением Девятнадцатого арбитражного апелляционного суда от 27.12.2019 решение суда первой инстанции отменено, в удовлетворении требования отказано. 2 Постановлением Арбитражного суда Центрального округа от 17.06.2020 постановление суда апелляционной инстанции отменено, решение суда первой инстанции оставлено в силе. В кассационной жалобе, поступившей в Верховный Суд Российской Федерации, предприниматель просит отменить принятое по делу постановление суда кассационной инстанции, считая его незаконным и необоснованным.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вынесения постановления о возбуждении дела об административном правонарушении и обращения в суд с соответствующим заявлением послужил выявленный прокуратурой факт оказания предпринимателем косметологических услуг по эпиляции с помощью аппаратной методики в отсутствии соответствующей лицензии на осуществление данной деятельности. Частью 2 статьи 14.1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без специального разрешения (лицензии), если такое разрешение (такая лицензия) обязательно (обязательна). 3 Оценив представленные доказательства, руководствуясь положениями Федерального закона от 04.05.2011 № 99-ФЗ «О лицензировании отдельных видов деятельности», Федерального закона от 21.11.2011 № 323-ФЗ «Об основах охраны здоровья граждан в Российской Федерации», Положения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«Сколково»), утвержденного постановлением Правительства Российской Федерации от 16.04.2012 № 291, приказа Министерства здравоохранения Российской Федерации от 13.10.2017 № 804н «Об утверждении номенклатуры медицинских услуг», суды первой и кассационной инстанций пришли к выводу о наличии в действиях предпринимателя состава административного правонарушения, предусмотренного частью 2 статьи 14.1 Кодекса Российской Федерации об административных правонарушениях. Процедура и срок давности привлечения к административной ответственности соблюдены. Административное наказание в виде штрафа назначено судом в виде предупреждения. Доводы жалобы по существу сводятся к несогласию предпринимателя с установленными судами фактическими обстоятельствами дела и толкованием норм законодательства, подлежащих применению к рассматриваемым правоотношениям, что в силу статьи 291.6 Арбитражного процессуального кодекса Российской Федерации не является основанием для пересмотра оспариваемых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