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04.12.2019, оставленным без изменения постановлением Семнадцатого арбитражного апелляционного суда от 28.01.2020, ФИО1 привлечен к административной ответственности по части 2 статьи 14.19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Уральского округа от 18.06.2020 указанные судебные акты оставлены без изменения. В кассационной жалобе ФИО1 просит отменить принятые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суд с соответствующим заявлением послужил выявленный факт отказа в предоставлении субсидии на возмещение недополученных доходов и отказа в учете актов о количестве перевезенных пассажиров с использованием льготных проездных документов хозяйствующим субъектам, использующим иную систему учета проезда держателей льготных проездных документов, что приводит или может привести к ограничению конкуренции. Частью 1 статьи 14.9 Кодекса Российской Федерации об административных правонарушениях предусмотрена административная ответственность за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частью 7 статьи 14.32 настоящего Кодекса. Эти же действия,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влекут административную ответственность на основании части 2 статьи 14.9 Кодекса Российской Федерации об административных правонарушениях. Оценив представленные в материалы дела доказательства, руководствуясь положениями Федерального закона от 26.07.2006 № 135-ФЗ «О защите конкуренции», суды пришли к выводу о наличии в действиях ФИО1 состава административного правонарушения, ответственность за совершение которого предусмотрена частью 2 статьи 14.9 Кодекса Российской Федерации об административных правонарушениях. Административное наказание в виде дисквалификации назначено в соответствии с санкцией нормы с учетом характера и обстоятельств совершенного правонарушения, вина установлена. Нарушений процедуры и срока давности привлечения к административной ответственности не установлено. Несогласие заявителя с оценкой имеющихся в деле доказательств и с толкованием судами норм законодательства, подлежащих применению к рассматриваемым правоотношениям, не свидетельствует о том, что судами допущены существенные нарушения названного Кодекса или норм процессуального права, не позволившие всесторонне, полно и объективно рассмотреть дело.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антимонопольной службы по Пермскому краю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