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09.10.2019, оставленным без изменения постановлением Первого арбитражного апелляционного суда от 23.12.2019 и постановлением Арбитражного суда Волго-Вятского округа от 19.06.2020, в удовлетворении заявленных требований отказано. Общество обратилось в Судебную коллегию Верховного Суда Российской Федерации с кассационной жалобой, одновременно заявив ходатайство о приостановлении исполнения решения суда первой инстанции. В соответствии с частями 3, 4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либо предоставил встречное обеспечение путем внесения на депозитный счет арбитражного суда, принявшего соответствующий судебный акт в первой инстанции, денежных средств в размере оспариваемой суммы либо предоставления банковской гарантии, поручительства или иного финансового обеспечения на ту же сумму. Рассмотрев заявленное ходатайство, судья не усматривает правовых оснований для его удовлетворения, поскольку обжалуемые судебные акты не предполагают совершения каких-либо исполнительных действий, приостановление которых допускается в порядке, предусмотренном статьей 291.6 Арбитражного процессуального кодекса Российской Федерации. В связи с отказом в приостановлении исполнения судебного акта встречное обеспечение в размере 1 100 841 рубля 84 копеек подлежит возврату заявителю Арбитражным судом Республики Марий Эл, на чей депозитный счет произведено перечисление указанной суммы. Руководствуясь статьями 184 , 291.6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«Медэксперт» о приостановлении исполнения решения Арбитражного суда Республики Марий Эл от 09.10.2019 по делу № А38-5347/2019 отказать. Поручить Арбитражному суду Республики Марий Эл возвратить обществу с ограниченной ответственностью «Медэксперт» 1 100 841 рубль 84 копейки, перечисленные на депозитный счет указанного суда по платежному поручению № 1357 от 21.07.2020 в качестве встречного обеспечения. Судья Верховного Суда Российской Федерации Д.В. Тютин Суд: Верховный Суд РФ (подробнее) Истцы: ООО МедЭксперт (подробнее) Ответчики: Управление Федеральной антимонопольной службы по РМЭ (подробнее) УФАС по РМЭ (подробнее) Судьи дела: Антонова М.К. (судья) (подробнее) Последние документы по делу: Определение от 2 октября 2020 г. по делу № А38-5347/2019 Определение от 7 августа 2020 г. по делу № А38-5347/2019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