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25.11.2019, оставленным без изменения постановлением Девятого арбитражного апелляционного суда от 26.02.2020 и постановлением Арбитражного суда Московского округа от 06.07.2020, в удовлетворении заявленного требования отказано. В кассационной жалобе, поданной в Верховный Суд Российской Федерации, РЭК Свердловской области ставит вопрос об отмене принятых по делу судебных актов, ссылаясь на существенные нарушения норм материального и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проведения в отношении заявителя плановой выездной проверки ФАС России выявлены нарушения законодательства в области государственного регулирования цен (тарифов) в сфере теплоснабжения, допущенные РЭК Свердловской области при установлении тарифов в отношении общества. По результатам проверки составлен акт от 23.05.2018 № 57 и издан оспариваемый приказ от 12.11.2018 № 1537/18, в соответствии с которым РЭК Свердловской области признана нарушившей положения пунктов 28, 29, 31 Основ ценообразования в сфере теплоснабжения, утвержденных Постановлением Правительства Российской Федерации от 22.10.2012 № 1075 (далее – Основы ценообразования), пункта 29 Правил регулирования тарифов в сфере теплоснабжения, утвержденных Постановлением Правительства Российской Федерации от 22.10.2012 № 1075 (далее – Правила № 1075), пункта 12 Методических указаний по расчету регулируемых цен (тарифов) в сфере теплоснабжения, утвержденных приказом Федеральной службы по тарифам от 13.06.2013 № 760-э (далее – Методические указания), на заявителя возложены обязанности устранить нарушения законодательства Российской Федерации в области государственного регулирования цен (тарифов) в сфере теплоснабжения.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Основами ценообразования, Правилами № 1075, Правилами отмены решений органов исполнительной власти субъектов Российской Федерации в области государственного регулирования тарифов, а также решений органов местного самоуправления поселений или городских округов, принятых во исполнение переданных им полномочий по государственному регулированию тарифов на тепловую энергию, в сфере водоснабжения и водоотведения, 3 утвержденными постановлением Правительства Российской Федерации от 03.03.2004 № 123, Методическими указаниями, пришли к выводу о законности оспариваемого приказа, изданного ФАС России в рамках предоставленных ей полномочий, без нарушения процедуры, порядка и сроков проведения проверки.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заявителя,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дела, не подтверждают наличие существенных нарушений норм материального права и (или) норм процессуального права, повлиявших на исход дела, и не являются достаточными основаниями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