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19.11.2019, оставленным без изменения постановлением Третьего арбитражного апелляционного суда от 25.02.2020 и постановлением Арбитражного суда Восточно-Сибирского округа от 10.06.2020,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внеплановой документарной проверки инспекцией установлено, что в нарушение требований к осуществлению деятельности в границах территории объекта культурного наследия и особого режима использования земельного участка, в границах которого располагается объект археологического наследия «Курганный могильник Смирновка – 4» (далее – объект наследия), обществом проведены земляные и строительные работы, приведшие к повреждению данного объекта археологического наследия. При этом извещение о повреждениях, авариях или иных обстоятельствах, причинивших вред или угрожающих причинением вреда объекту наследия и земельному участку, в границах которого он располагается, в инспекцию не поступало. Также в инспекцию на согласование не были направлены документация либо ее разделы, обосновывающие меры по обеспечению сохранности объекта наследия. В целях устранения нарушений выдано предписание, которое оспорено обществом в арбитражный суд. Оценив представленные в материалы дела доказательства, суды, руководствуясь положениями Федерального закона от 25.06.2002 № 73-ФЗ «Об объектах культурного наследия (памятниках истории и культуры) народов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Государственной инспекции по охране объектов культурного наследия Республики Хакасия, утвержденным постановлением Правительства Республики Хакасия от 29.12.2016 № 645, Порядком осуществления регионального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расположенных на территории Республики Хакасия, утвержденным постановлением 3 Правительства Республики Хакасия от 31.08.2017 № 444, Порядком выдачи задания на проведение мероприятий по контролю за состоянием объектов культурного наследия и систематическому наблюдению в отношении объектов культурного наследия федерального значения, полномочия по государственной охране которых осуществляются Министерством культуры Российской Федерации, и его формы, утвержденным приказом Минкультуры России от 25.01.2016 № 239, пришли к выводу о том, что оспоренное предписание вынесено в пределах предоставленных инспекции полномочий, соответствует закону, является исполнимым и прав либо законных интересов заявителя не нарушает. Судебные инстанции исходили из доказанности инспекцией наличия у общества обязанности по принятию мер, направленных на сохранение спорного объекта наследия, расположенного на принадлежащем ему земельном участке, неисполнение которой привело к повреждению данного объекта. Вместе с тем суды указали на наличие у инспекции правовых оснований для проведения в отношении общества документарной проверки и соблюдение процедуры ее проведения. Доводы, изложенные в кассационной жалобе, являлись предметом рассмотрения судов,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Приведенные доводы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«Восточно-Бейский разрез»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