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11.12.2019, оставленным без изменения постановлением Тринадцатого арбитражного апелляционного суда от 26.02.2020 и постановлением Арбитражного суда Северо-Западного округа от 09.06.2020,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заявленное требование.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на основании распоряжения от 26.06.2019 № 962 проведена внеплановая выездная проверка соблюдения обществом требований жилищного законодательства при управлении многоквартирным домом и установлено, что обществом не обеспечено исправное состояние конструкций кровли и системы водоотвода, защита от увлажнения конструкций от протечек кровли, частично отсутствует металлическое покрытие карниза; на стенах и потолке лестничных клеток в подъездах имеются отслоения краски, разрушение штукатурного слоя; на лестничных клетках в подъездах частично неисправно остекление; отмостка по периметру здания частично отсутствует. Установив указанные нарушения, комитет выдал обществу предписание об их устранении. Не согласившись с предписанием комитета, общество обратилось в арбитражный суд. Отказывая в удовлетворении заявления, суды, оценив представленные в материалы дела доказательства, руководствуясь положениями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Правилами и нормами технической эксплуатации жилищного фонда, утвержденными постановлением Госстроя России от 27.09.2003 № 170, пришли к выводу о том, что вынесенное комитетом предписание является законным и не нарушает права и интересы общества. Суды исходили из того, что общество, осуществляющее деятельность по управлению многоквартирным домом, допустило нарушение требований 3 жилищного законодательства, выразившееся в ненадлежащем содержании общего имущества, в связи с чем обязанность по устранению выявленных нарушений возлагается именно на заявителя. Выводы судов согласуются с правовой позицией Президиума Высшего Арбитражного Суда Российской Федерации, изложенной в постановлении от 29.09.2010 № 6464/10. Доводы, изложенные в кассационной жалобе, повторяют позицию общества по спору, которая являлась предметом рассмотрения судов и получила надлежащую правовую оценку, не опровергают выводы судов и не свидетельствуют о существенном нарушении норм материального и процессуального права, повлиявшем на исход дела, основаны на ином толковании действующего законодательства,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«Жилищное хозяйство»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