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09.09.2019, оставленным без изменения постановлением Второго арбитражного апелляционного суда от 04.12.2019 и постановлением Арбитражного суда Волго-Вятского округа от 11.06.2020, в удовлетворении заявления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проведенного электронного аукциона обществом (арендодатель) и учреждением (арендатор) заключен государственный контракт от 27.07.2018 № 0107200002718000647 на оказание услуг аренды автоматизированной системы весогабаритного контроля, по условиям которого арендодатель передает, арендатор принимает в пользование систему, в соответствии с требованиями и характеристиками, указанными в техническом задании и оплачивает услуги в порядке и на условиях, предусмотренных контрактом. В соответствии с пунктом 1.4. контракта система должна быть передана арендатору в срок до 15.11.2018. Ненадлежащее исполнение учреждением обязательства по внесению арендной платы за пользование системой послужило основанием для обращения общества в арбитражный суд. При рассмотрении дела судами установлено, что система передана в аренду ответчику 18.12.2018, период просрочки исполнения обязательств составил 32 дня, при этом на учреждение не возложены какие-либо обязанности по созданию объекта аренды (системы), доведению ее элементов до необходимых рабочих характеристик с целью передачи в пользование арендатору; в цену контракта, подлежащей выплате обществу, включены затраты на аппаратно-программный комплекс сбора, обработку, хранение информации, получаемой от автоматических скоростных комплексов весового и габаритного контроля и электронного взаимодействия с внешними информационными системами, включая монтаж и пусконаладочные работы. Установив указанные обстоятельства в процессе исследования и оценки доказательств, суды первой и апелляционной инстанций, руководствуясь 3 положениями статей 330, 606, 614 Гражданского кодекса Российской Федерации, статьи 34 Федерального закона от 05.04.2013 № 44-ФЗ «О контрактной системе в сфере закупок товаров, работ, услуг для обеспечения государственных нужд», пришли к выводу об отсутствии оснований для взыскания с ответчика арендной платы за период с 15.12.2018 по 14.01.2019, удержанной учреждением в счет начисленной неустойки за допущенную обществом просрочку предоставления системы в аренду в сумме 3 865 755 рублей 80 копеек, с чем согласился суд округа.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повторяют позицию общества, изложенную при рассмотрении дела в судах трех инстанций, являлись предметом их рассмотрения и получили надлежащую правовую оценку,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