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Алтайского края от 23.12.2019, оставленным без изменения постановлением Седьмого арбитражного апелляционного суда от 11.03.2020 и постановлением Арбитражного суда Западно-Сибирского округа от 11.06.2020, исковое заявление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принять новое решение, снизив размер неустойки.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комитетом (заказчик) и обществом (подрядчик) 03.08.2017 заключен муниципальный контракт на выполнение работ по капитальному ремонту № Ф.2017.318577, по условиям которого подрядчик обязался собственными и (или) привлеченными силами своевременно выполнить на условиях контракта работу по капитальному ремонту котельной с присоединением к существующим тепловым сетям и сдать результат работ истцу, а заказчик принять результат работ и оплатить его. В связи с допущенным подрядчиком нарушением сроков выполнения работ по контракту заказчиком начислена неустойка за период с 01.12.2017 по 11.04.2018 в сумме 7 299 303 рублей 34 копеек. Неисполнение претензии заказчика о выплате неустойки за просрочку выполнения работ послужило основанием для обращения комитета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статей 330, 333, 404, 708, 740,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правовых оснований для взыскания с ответчика неустойки в заявленном истцом размере, с чем согласился суд округа. Суды исходили из доказанности обстоятельств нарушения ответчиком сроков выполнения работ, что в соответствии с пунктом 9.3 договора является основанием для начисления неустойки. При этом судом не установлено оснований для освобождения ответчика от уплаты неустойки либо снижения ее размера. Доводы, изложенные в кассационной жалобе, повторяют позицию общества, изложенную при рассмотрении дела в судах трех инстанций, 3 являлись предметом их рассмотрения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