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01.08.2019 в удовлетворении иска отказано. Постановлением Тринадцатого арбитражного апелляционного суда от 30.10.2020 решение суда первой инстанции отменено, иск удовлетворен. Постановлением Арбитражного суда Северо-Западного округа от 28.05.2020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несоответствие их выводов фактическим обстоятельствам дела, просит отменить их постановления и направить дело на новое рассмотрение в Арбитражный суд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удовлетворяя иск, суд апелляционной инстанции, с которым впоследствии согласился суд округа, руководствовался статьями 210, 244, 249, 1102 Гражданского кодекса Российской Федерации, положениями Федерального закона от 30.12.2009 № 384-ФЗ «Технический регламент о безопасности зданий и сооружений», разъяснениями, приведенными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и исходил из установленных обстоятельств, свидетельствующих о наличии на стороне ответчика неосновательного обогащения. Доводы кассационной жалобы были предметом рассмотрения названных судов и получили правовую оценку, не опровергают их выводы и не подтверждают существенных нарушений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«Комплекс»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