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Пестерев А.Р. обратился в суд с заявлением о включении в реестр требований кредиторов должника его требования в размере 671 400 рублей основного долга и 146 186 рублей 20 копеек процентов. Определением Арбитражного суда Удмуртской Республики от 24.07.2019, оставленным без изменения постановлениями Семнадцатого арбитражного апелляционного суда от 20.11.2019 и Арбитражного суда Уральского округа от 22.06.2020,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807, 807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недоказанность наличия на стороне должника неисполненного обязательства перед заявителем, реальности возникших между ними отношений, в связи с чем не установили правовых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Пестереву Александру Рудольфовичу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