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19.11.2019, оставленным без изменения постановлениями Семнадцатого арбитражного апелляционного суда 2 от 10.02.2020 и Арбитражного суда Уральского округа от 17.06.2020, в удовлетворении заявленного требования отказано. В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обратилось в антимонопольный орган с заявлением на действия АО «СОГАЗ», ссылаясь на прекращение выдачи направлений /гарантийных/ писем застрахованным лицам для обращения в общество, в результате чего им утрачен доход от оказания стоматологических услуг работникам АО «Атомэнергоремонт», оплачиваемых страховщиком, в 2018 году в размере 328 850 рублей. Решением управления в возбуждении дела о нарушении антимонопольного законодательства отказано, что послужило основанием для обращения общества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421, 934 Гражданского кодекса Российской Федерации, статей 4, 5, 10, 23, 39, 44 Федерального закона от 26.07.2006 № 135-ФЗ «О защите конкуренции» (далее – Закон о защите конкуренции), статей 4, 10 Закона Российской Федерации от 27.11.1992 № 4015-1 «Об организации страхового дела в Российской Федерации», с учетом правовой позиции, изложенной в постановлении Пленума Высшего Арбитражного Суда Российской Федерации от 30.06.2008 № 30 «О некоторых вопросах, возникающих в связи с применением арбитражными судами антимонопольного законодательства», суды пришли к выводу о законности ненормативного акта и отсутствии в действиях АО «СОГАЗ» признаков нарушения статьи 10 Закона о защите конкуренции. При этом суды установили, что АО «Атомэнергоремонт», являясь заказчиком страховых услуг, принимает решение о заключении договора страхования, несет расходы по уплате страховой премии, вправе независимо от страховщика определять, какой объем денежных вложений будет потрачен в 3 рамках добровольного медицинского страхования; работники АО «Атомэнергоремонт» самостоятельно выбирают медицинскую организацию для получения медицинских (в том числе стоматологических) услуг из имеющегося перечня к договору от 23.11.2018 № 19LM2417, заключенному между АО «Атомэнергоремонт» и АО «СОГАЗ». Доказательств того, что работники названного предприятия каким-либо образом ограничены в выборе медицинской организации, действия АО «СОГАЗ» повлекли за собой снижение обращения к заявителю за получением стоматологической помощи и налагают на него неразумные ограничения или ставятся необоснованные условия реализации прав, не представлено. Приведенные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повлиявших на исход дела, повторяют правовую позицию заявителя по существу спора, выражают несогласие с выводами судов по фактическим обстоятельствам дела,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«Стоматологическая компания «Дантист-Сервис»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