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 к субсидиарной ответственности по обязательствам должника. Определением Арбитражного суда города Москвы от 15.11.2019, оставленным без изменения постановлениями Девятого арбитражного апелляционного суда от 04.02.2020 и Арбитражного суда Московского округа от 25.06.2020,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61.10, 61.11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пришли к выводу о наличии совокупности условий, необходимых для привлечения заявителя как бывшего руководителя и единственного участника должника к субсидиарной ответственности ввиду неисполнения им без уважительных причин своей обязанности по передаче конкурсному управляющему бухгалтерской и иной документации должника, что привело к невозможности обнаружения имущества и дебиторской задолженности, оспаривания сделок, и как следствие невозможности формирования конкурсной массы и проведения расчётов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ЭН.СИ.АР. (подробнее) Ответчики: ООО "БАНКОМ АГ" (подробнее) Иные лица: Ассоциации "НацАрбитр" (подробнее) к/у Полтавцев А.Н.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