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имуществом должника обратился в суд с заявлением о переводе требований Корякиной Жанны Владимировны, Дворецкого Алексея Борисовича, Топачева Валерия Викторовича, Анчуковой Оксаны Борисовна, Васютиной Зинаиды Ефимовны, Девятилова Александра Михайловича, Дементьевой Натальи Павловны, Кулешовой Гузель Раисовны, Кокориной Галины Михайловны, Кошкаревой Ирины Петровны, Кемаловой (Уваровой) Анны Алексеевны, Половниковой Веры Васильевны, Никитиной Натальи Сергеевны, Варибрус Ларисы Валерьевны, Тарабаевой Екатерины Валерьевны, Горбунова Василия Анатольевича, Ярославцева Александра Владимировича, Зайцева Павла Никандровича, Старожилова Валерия Геннадьевича, Гордеева Юрия Валерьевича и Бухгамер Полины Викторовны (далее – участники строительства) из реестра требований о передаче жилых помещений в реестр денежных требований кредиторов. Определением Арбитражного суда Свердловской области от 18.12.2019, оставленными без изменения постановлениями Семнадцатого арбитражного 2 апелляционного суда от 12.03.2020 и Арбитражного суда Уральского округа от 11.08.2020,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201.4, 201.5, 201.6, 201.13 Федерального закона от 26.10.2002 № 127-ФЗ «О несостоятельности (банкротстве)», исходили из того, что право выбора формы учёта требований кредиторов в деле о банкротстве застройщика принадлежит участникам строительства; последними это право реализовано путём учёта их требований в реестре требований о передачи нежилых помещений, доказательств волеизъявления указанных лиц на трансформацию документально подтверждённых требований в денежные, в том числе, принятия заявителем всех возможных мер для проведения расчётов с указанными участниками строительства отсутствуют.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имуществом индивидуального предпринимателя Васильева Алексея Алексеевича Большакову Евгению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