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посредством размещенной на официальном сайте Верховного Суда Российской Федерации системы «Мой Арбитр» повторно обратилось в Верховный Суд Российской Федерации с кассационной жалобой на указанные судебные акты, а также с ходатайством о зачете излишне уплаченной государственной пошлины, приложив электронный образ платежного поручения от 23.12.2019 № 2009 об оплате государственной пошлины за рассмотрение апелляционной жалобы по данному делу.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2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№46 «О применении законодательства о государственной пошлине при рассмотрении дел в арбитражных судах»,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3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заявителя, суд приходит к выводу об отсутствии оснований для его удовлетворения, поскольку документы, необходимые для зачета государственной пошлины, заявителем в Верховный Суд Российской Федерации представлены в виде электронных образов, а не оригиналов (надлежащим образом заверенных копий). В соответствии с пунктом 1 части 1 статьи 291.5 Арбитражного процессуального кодекса Российской Федерации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Руководствуясь статьями 104, 184,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«Коммунальщик» о зачете государственной пошлины отказать, кассационную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