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25.09.2020 направил в Верховный Суд Российской Федерации указанную кассационную жалобу, в которой изложил ходатайство о восстановлении пропущенного срока на ее подачу. Согласно положениям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срока уважительными. Рассмотрев ходатайство о восстановлении процессуального срока, оснований для его удовлетворения не установлено. Заявитель являлся инициатором иска и подачи кассационной жалобы в суд округа, его представитель присутствовал в судебном заседании суда округа, судебные акты своевременно опубликованы в общедоступной базе «Картотека арбитражных дел». При той степени заботливости и разумной осмотрительности, какая требовалась от заявителя как от добросовестного участника процесса, он имел возможность ознакомиться с содержанием судебных актов и достаточный промежуток времени для своевременного принятия решения по вопросу обжалования, подготовки и подачи кассационной жалобы в предусмотренный законодательством срок. При этом заявитель имел возможность обратиться в Верховный Суд Российской Федерации путем подачи кассационной жалобы в электронном виде, посредством заполнения форм, размещенных на официальном сайте суда в сети Интернет, с использованием системы «Мой Арбитр». Согласно абзацу 4 пункта 3.1 § 2 Раздела III Временного порядка подачи документов в электронном виде в Верховный Суд Российской Федерации, утвержденного Президиумом Верховного Суда Российской Федерации 05.11.2014, с учетом положения части 6 статьи 291.3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Верховного Суда Российской Федерации в электронном виде, правило пункта 1 части 5 статьи 291.3 названного Кодекса о заверении соответствующим судом прилагаемых к кассационной жалобе копий 3 обжалуемых судебных актов и других судебных актов, принятых по делу, при подаче кассационной жалобы не применяется. Не могут рассматриваться в качестве уважительных причин приведенные в ходатайстве внутренние организационные проблемы юридического лица, обратившегося с жалобой. Поскольку в ходатайстве не приведено иных обстоятельств, свидетельствующих о том, что процессуальный срок пропущен по не зависящим от заявителя причинам оснований для удовлетворения ходатайства не имеется. Ввиду отказа в удовлетворении ходатайства о восстановлении пропущенного процессуального срока, ходатайство об отсрочке уплаты государственной пошлины рассмотрению не подлежит.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«АСУС» о восстановлении пропущенного срока отказать, кассационную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