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Конюшок Дмитрий Владимирович обратился в суд с заявлением о признании недействительными сделками произведённых должником выплат в пользу Столовой С.Я. денежных средств в сумме 1 698 040 рублей 74 копеек в качестве заработной платы; применении последствий недействительности сделок. Определением Арбитражного суда Московской области от 22.11.2019, оставленным без изменения постановлениями Десятого арбитражного апелляционного суда от 15.06.2020 и Арбитражного суда Московского округа от 20.08.2020,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19, 61.1, 61.2, 61.9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 исходили из совершения оспариваемых выплат в период подозрительности неплатёжеспособным должником в пользу заявителя как заинтересованного с ним лица (заместителя генерального директора) в отсутствие на то законных оснований, что указывало на причинение вреда кредиторам, о чём последняя знала и не могла не знать, при этом правомерно применив последствия их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Столовой Светлане Ярославовне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