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28.10.2019, оставленным без изменения постановлением Четвертого арбитражного апелляционного суда от 11.02.2020, предприниматель привлечен к административной ответственности, предусмотренной частью 2 статьи 14.43 Кодекса Российской Федерации об административных правонарушениях и ему 2 назначено наказание в виде административного штрафа в размере 30 000 рублей. Постановлением Арбитражного суда Восточно-Сибирского округа от 10.06.2020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послужил выявленный административным органом факт несоблюдения предпринимателем обязательных требований при хранении и реализации пищевой продукции, что создало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3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 и установив, что в магазине предпринимателя осуществляется хранение и реализация пищевой продукции без маркировки, содержащей сведения о наименовании продукции, ее составе, дате изготовления, сроке годности, пищевой продукции с истекшим сроком годности, руководствуясь положениями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предпринимателя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спорная продукция не пригодна для использования по назначению, является некачественной и создает угрозу причинения вреда здоровью потребителей. Вина предпринимателя установлена,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