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кредитор) обратилось в суд с заявлением о признании недействительными и применении последствий недействительности договоров залога от 21.09.2015 и от 30.10.2015, заключенных между Сахончик Кирой Равильевной и банком, в части залога в пользу банка ½ в праве собственности, договора купли-продажи от 17.01.2016, кредитного договора от 03.10.2016 № 20016-0067, договора залога от 01.03.2017, договора залога от 17.01.2017 в части ½ в праве собственности, договора купли-продажи от 17.11.2016, заключенных между Сахончик Кирой Равильевной и Акчуриным Равилем Хасановичем. Определением Арбитражного суда города Москвы от 20.12.2019, оставленным без изменения постановлениями Девятого арбитражного апелляционного суда от 03.03.2020 и Арбитражного суда Московского округа от 23.06.2016, заявление удовлетворено частично. Признаны недействительными сделками обременение на основании договора купли-продажи от 17.01.2016, кредитного договора от 03.10.2016 № 20016-0067, договора залога от 01.03.2017, договор залога от 17.01.2017 в 2 части 1/2 в праве собственности соответствующего недвижимого имущества должника.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судебные акты и принять по делу новый судебный акт об отказе в удовлетворении заявления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в обжалуемой части, суды первой и апелляционной инстанции, руководствуясь статьями 167, 168, 354, 335 Гражданского кодекса Российской Федерации, статьями 6, 42 Федерального закона от 16.07.1998 № 102-ФЗ «Об ипотеке (залоге недвижимости)», статьями 61.1, 61.2 Федерального закона от 26.10.2002 № 127-ФЗ «О несостоятельности (банкротстве)», и применительно к конкретным обстоятельствам дела, обосновано признали недействительными (ничтожными) сделки по обременению лицом, не имеющим права распоряжаться спорным имуществом, в том числе предоставлять его в залог в качестве обеспечения исполнения своих обязательств, в пользу банка, мотивированно отклонив доводы последнего о пропуске кредитором срока исковой давности. Суд округа согласился с выводами судов первой и апелляционной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конкурсного управляющего акционерным обществом коммерческий банк «»Русский инвестиционный альянс» – государственной корпорации «Агентство по страхованию вкладов»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