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26.12.2019 в удовлетворении заявленных требований отказано. 2 Постановлением Семнадцатого арбитражного апелляционного суда от 18.03.2020 решение суда первой инстанции отменено, заявленные требования удовлетворены. Постановлением Арбитражного суда Уральского округа от 18.06.2020 постановление суда апелляционной инстанции оставлено без изменения. Фонд просит обжалуемые судебные акты отменить, считая их принятыми с существенным нарушением норм материального права и (или) норм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Отменяя решение суда первой инстанции и удовлетворяя заявленные требования, суд апелляционной инстанции руководствовался положениями Федерального закона от 24.07.2009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Налогового кодекса Российской Федерации, и исходил из обоснованного применения обществом пониженного тарифа страховых взносов для вида деятельности «строительство», доход по которому составлял более 70 процентов от общего дохода, признав, что выручка по договорам на выполнение строительно-монтажных работ является доходом от строительной деятельности. Суд округа согласился с выводами суда апелляционной инстанции. Доводы жалобы были предметом исследования судов и получили исчерпывающую правовую оценку применительно к установленным обстоятельствам и условиям договора, не согласиться с которой оснований не имеется. Указанные доводы сводятся к несогласию заявителя с установленными судами фактическими обстоятельствами дела и оценкой доказательств, что в 3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