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20.08.2019, оставленным без изменения постановлениями Девятого арбитражного апелляционного суда от 18.11.2019 и Арбитражного суда Московского округа от 16.06.2020,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принято решение от 25.12.2018 № 143-орк/18 об одностороннем отказе от исполнения договора, заключенного с обществом на выполнение работ по монтажу системы видеонаблюдения для нужд учреждения в объеме, установленном в техническом задании.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 По результатам рассмотрения представленных сведений управлением вынесено оспариваемое решение о включении сведений в отношении общества в реестр недобросовестных поставщиков.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статей 95, 104 Федерального закона от 05.04.2013 № 44-ФЗ «О контрактной системе в сфере закупок товаров, работ, услуг для обеспечения государственных и муниципальных нужд», суды пришли к выводу о том, что ненормативный акт антимонопольного органа соответствует действующему законодательству и не нарушает права и законные интересы заявителя в экономической сфере. Судебные инстанции исходили из ненадлежащего исполнения обществом обязательств, предусмотренных договором, и существенности допущенных нарушений. Установлено, что обществом не соблюдены требования к срокам выполнения работ, их объему и содержанию, что привело к лишению учреждения как заказчика тех работ, на выполнение которых оно рассчитывало при заключении договора, не устранены выявленные учреждением нарушения условий договора, решение об одностороннем отказе от исполнения договора обществом не оспорено. Обстоятельства данного спора и представленные доказательства были предметом рассмотрения и оценки судов. Доводы общества о не привлечении к участию в деле в качестве третьего лица, не заявляющего самостоятельных требований относительно предмета спора, ФИО1, об отказе судом первой инстанции в удовлетворении ходатайства об ознакомлении с отзывом антимонопольного органа, не подтверждают существенных нарушений судами норм процессуального права, повлиявших на исход дела, и без устранения которых невозможны восстановление и защита нарушенных прав и законных интересов заявителя. Изложенные в кассационной жалобе доводы, являлись предметом рассмотрения судов трех инстанций и получили надлежащую правовую оценку с учетом установленных по делу обстоятельств, повторяют позицию заявителя по спору, не опровергают выводы судов и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«Частное охранное предприятие «Антей-5»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ЧАСТНОЕ ОХРАННОЕ ПРЕДПРИЯТИЕ "АНТЕЙ-5" (подробнее) Ответчики: Управление Федеральной антимонопольной службы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