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Нижегородской области с иском о взыскании с общества с ограниченной ответственностью «Трактористы» 360 811 рублей 35 копеек задолженности по договору от 01.01.2014 № 12 и 6 746 рублей 68 копеек процентов за пользование чужими денежными средствами, начисленных за период с 18.04.2019 по 10.07.2019. Решением Арбитражного суда Нижегородской области от 20.12.2019 в удовлетворении иска отказано. Постановлением Первого арбитражного апелляционного суда от 10.03.2020 решение суда первой инстанции оставлено без изменения. Арбитражный суд Волго-Вятского округа постановлением от 31.07.2020 указанные судебные акты оставил без изменения.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66 , 67 , 71 Арбитражного процессуального кодекса Российской Федерации, руководствуясь положениями статей 309 , 310 , 425 , 779 , 781 Гражданского кодекса Российской Федерации, суды пришли к выводу о недоказанности факта оказания истцом (исполнителем) услуг по рекламной кампании сайтов ответчика (заказчика) после истечения срока действия договора и отсутствии в связи с этим оснований для удовлетворения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Чалый Владимир Владимирович (подробнее) Ответчики: ООО "ТРАКТОРИСТЫ"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