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24.10.2019, оставленным без изменения постановлением Пятнадцатого арбитражного апелляционного суда от 20.01.2020, заявленные требования удовлетворены. Постановлением Арбитражного суда Северо-Кавказского округа от 16.06.2020 решение суда первой инстанции и постановление суда апелляционной инстанции отменены, в удовлетворении заявления отказано. 2 В кассационной жалобе, поданной в Верховный Суд Российской Федерации, департамент, ссылаясь на существенное нарушение норм материального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учреждения (заказчик) при проведении электронного аукциона на поставку лекарственного препарата для медицинского применения, выразившиеся в неправомерном отказе в допуске к участию в электронном аукционе, антимонопольным органом принято решение. Управлением жалоба общества признана обоснованной, в действиях департамента (отраслевой комиссии) выявлено нарушение части 6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Выдано предписание об устранении нарушения законодательства об осуществлении закупок. Считая ненормативные акты антимонопольного органа незаконными, департамент обратился в арбитражный суд. Удовлетворяя заявленные требования, суды первой и апелляционной инстанций исходили из того, что возможность предоставления в составе заявки иных документов, помимо выписки из ЕГРЮЛ установленной формы, Законом о контрактной системе не предусмотрена. Суд кассационной инстанции счел выводы судов ошибочными. Отказывая в удовлетворении заявления департамента, суд округа, руководствуясь положениями Закона о контрактной системе, Федерального закона от 08.08.2001 №129-ФЗ «О государственной регистрации юридических лиц и индивидуальных предпринимателей», постановлением Правительства Российской Федерации от 30.12.2018 №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3 нужд и ведения единого реестра участников закупок», пришел к выводу о законности оспариваемых ненормативных актов. Суд кассационной инстанции, принимая во внимание, отсутствие доказательств недостоверности представленных обществом сведений, их противоречивости, не позволяющих однозначно определить наименование участника торгов или идентифицировать его, исходил из отсутствия у аукционной комиссии оснований для отклонения заявки общества ввиду несоответствия требованиям Закона о контрактной системе и аукционной документации. При этом суд округа указал, что у аукционной комиссии в рассматриваемом случае отсутствовала какая-либо неясность относительно представленной информации, поскольку общество было в установленном законом порядке аккредитовано на электронной площадке и состоит в реестре участников электронного аукциона, получивших аккредитацию, в отношении него имелись соответствующие документы и сведения, позволяющие в полной мере идентифицировать общество как участника аукциона.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по регулированию контрактной системы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