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21.10.2019, оставленным без изменения постановлением Девятого арбитражного апелляционного суда от 29.01.2020 и постановлением Арбитражного суда Московского округа от 25.05.2020, в удовлетворении исковых требований отказано. В кассационной жалобе, поданной в Верховный Суд Российской Федерации, компания,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с которыми впоследствии согласился суд округа, руководствуясь статьями 421 , 431 , 432 , 1102 Гражданского кодекса Российской Федерации,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 субподряда и обстоятельства его исполнения сторонами, не установили правовых оснований для взыскания с ответчика спорных денежных средств. В обжалуемых судебных актах приведено подробное обоснование выводов, сделанных судами при рассмотрении дела.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«Компания ЭМК-Инжиниринг»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"Компания ЭМК-Инжиниринг" (подробнее) Ответчики: ФГУП "ГЛАВНОЕ ВОЕННО-СТРОИТЕЛЬНОЕ УПРАВЛЕНИЕ №14"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