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Республики Татарстан от 17.10.2019 в удовлетворении первоначальных исковых требований отказано, встречные исковые требований удовлетворены, распределены судебные расходы. Постановлением Одиннадцатого арбитражного апелляционного суда от 06.02.2020 решение суда первой инстанции отменено в части удовлетворения встречных исковых требований и распределения судебных расходов, в этой части принят новый судебный акт; с общества в пользу компании взыскано 1 131 486 руб. 91 коп. задолженности, 1 857 016 руб. 13 коп. пеней, 67 596 руб. расходов за проведение судебной экспертизы, в удовлетворении остальной части встречных исковых требований отказано; с компании в пользу общества взыскано 1310 руб. 10 коп. расходов по уплате государственной пошлины по апелляционной жалобе; произведен зачет взыскиваемых денежных сумм; в остальной части решение суда оставлено без изменения. Постановлением Арбитражного суда Поволжского округа от 28.05.2020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Республики Татарстан.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Взаимные требования сторон основаны на договоре подряда от 10.02.2014 № 20, в соответствии с обстоятельствами исполнения которого в результате исследования и оценки в порядке, предусмотренном статьей 71 Арбитражного процессуального кодекса Российской Федерации, представленных доказательств суд апелляционной инстанции, руководствуясь статьями 309 , 310 , 330 , 395 , 450 , 453 , 702 , 711 , 716 , 740 , 746 , 753 , 758 , 760 , 762 , 1102 Гражданского кодекса Российской Федерации, разъяснениями, изложенными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пришел к выводу о наличии оснований для отказа в удовлетворении первоначальных исковых требований и частичного удовлетворения встречных исковых требований, с чем впоследствии согласился суд округа. В частности, апелляционный суд исходил из недоказанности обществом существенного нарушения компанией обязательств по договору и подтвержденности факта выполнения последней спорных работ.Доводы кассационной жалобы не опровергают выводы судов и не свидетельствуют о существенном нарушении судами норм материального и процессуального права, повлиявших на исход дела, а по существу направлены на переоценку установленных фактических обстоятельств дела, поэтому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«Спецстрой»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"Спецстрой", г.Менделеевск (подробнее) Ответчики: ООО "Махаон+", г.Набережные Челны (подробнее) Иные лица: Одиннадцатый арбитражный апелляционный суд г.Самара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