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23.10.2019 с компании в пользу общества взыскано 20 447 руб. 41 коп. неустойки, 5 051 299 руб. 59 коп. убытков, в удовлетворении остальной части исковых требований отказано. Постановлением Одиннадцатого арбитражного апелляционного суда от 30.01.2020 решение суда первой инстанции изменено, с компании в пользу общества взыскано 20 447 руб. 41 коп. неустойки, в удовлетворении остальной части исковых требований отказано. Постановлением Арбитражного суда Поволжского округа от 25.05.2020 постановление суда апелляционной инстанции оставлено без изменения. В кассационной жалобе (с дополнениями к ней), поданной в Верховный Суд Российской Федерации, общество, выражая несогласие с выводами судов 2 апелляционной инстанции и округа в части отказа в удовлетворении исковых требований, просит отменить их постановления как принятые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Изменяя решение суда первой инстанции и отказывая в удовлетворении исковых требований, суд апелляционной инстанции, с которым согласился суд округа, руководствуясь статьями 15, 393 Гражданского кодекса Российской Федерации, повторно оценив по правилам главы 7 Арбитражного процессуального кодекса Российской Федерации имеющиеся в деле доказательства, пришел к выводу о недоказанности обществом наличия совокупности условий, необходимых для взыскания с компании убытков в виде упущенной выгоды. Обстоятельства дела и представленные доказательства были предметом рассмотрения суда. Доводы кассационной жалобы и дополнениях к ней не опровергают выводы судов апелляционной инстанции и округа, не свидетельствуют о существенном нарушении норм материального и процессуального права, повлиявших на исход дела, а по существу направлены на переоценку установленных фактических обстоятельств дела, поэтому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«Татэнерго»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