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03.09.2019 иск удовлетворен. Постановлением Девятого арбитражного апелляционного суда от 04.12.2019 решение суда первой инстанции отменено, в удовлетворении иска отказано. Постановлением Арбитражного суда Московского округа от 09.06.2020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и процессуального права, просит отменить их постановления и оставить в силе решение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 общества (подрядчика) мотивирован нарушением компанией (субподрядчиком) срока выполнения работ по договору от 31.03.2016 № СП-74/15/2-01. Отменяя решение суда первой инстанции и отказывая в удовлетворении иска, суд апелляционной инстанции руководствовался статьями 330 , 416 , 719 , 743 , 744 Гражданского кодекса Российской Федерации и исходил из установленных обстоятельств, свидетельствующих о невозможности выполнения ответчиком работ по договору ввиду неисполнения встречных обязательств истцом. С указанными выводами впоследствии согласился суд округа, мотивированно отклонив возражения общества о неправомерном удовлетворении апелляционным судом ходатайства о приобщении дополнительных доказательств. Доводы кассационной жалобы не опровергают выводы судов апелляционной инстанции и округа, не свидетельствуют о существенном нарушении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«Гарантэнерго»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"ГарантЭнерго" (подробнее) Ответчики: ООО "ЭЛЕКТРОЩИТ-ЭМ"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