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03.12.2019, оставленным без изменения постановлением Девятого арбитражного апелляционного суда от 13.02.2020 и постановлением Арбитражного суда Московского округа от 09.06.2020,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руководствовались положениями статей 309 , 310 , 486 , 506 , 516 Гражданского кодекса Российской Федерации и исходили подтвержденности факта поставки истцом товара ответчику и отсутствия доказательств его оплаты. Ссылка заявителя на отношения сторон в части выполнения работ по договору была предметом рассмотрения апелляционного суда и мотивированно отклонена.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«Империя строительства»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"АМЖ ГРУПП" (подробнее) Ответчики: ООО "Империя Строительства" (подробнее) Иные лица: ООО ТОРГОВЫЙ ДОМ "БАУРЕКС"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