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учреждение обратилось в Арбитражный суд города Санкт-Петербурга и Ленинградской области со встречным иском о взыскании с общества 37 089 757 рублей 77 копеек неустойки за нарушение промежуточного срока выполнения работ, 2 083 283 рублей 55 копеек неустойки за нарушение конечного срока выполнения работ и 509 600 рублей штрафа. 2 Определением суда первой инстанции от 20.11.2019, оставленным без изменения постановлениями Тринадцатого арбитражного апелляционного суда от 23.12.2019 и Арбитражного суда Северо-Западного округа от 08.06.2020, встречное исковое заявление возвращено учреждению. В кассационной жалобе, поданной в Верховный Суд Российской Федерации, учреждение, ссылаясь на существенное нарушение норм процессуального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Возвращая встречное исковое заявление, суд первой инстанции, с которым согласились апелляционный суд и суд округа, руководствовался статьями 129, 132 Арбитражного процессуального кодекса Российской Федерации, и исходил из отсутствия совокупности обстоятельств, необходимых для принятия встречного искового заявления. Суды указали, что требования, заявленные по первоначальному и встречному искам, различны по содержанию, что не свидетельствует о наличии взаимной связи между ними, влечет необходимость при рассмотрении их судом устанавливать и оценивать различные обстоятельства и применять различные правовые нормы, регулирующие соответствующие правоотношения, в связи с чем их совместное рассмотрение в рамках одного производства не будет способствовать более быстрому и правильному рассмотрению дела и приведет к затягиванию его рассмотрения, не будет способствовать принципу разумности сроков судопроизводства; возвращение встречного иска не нарушает права учреждения на судебную защиту. Доводы учреждения, изложенные в кассационной жалобе, не опровергают выводы судов, не подтверждают нарушений судом норм материального и процессуального права, повлиявших на исход дела, и в силу 3 статьи 291.6 Арбитражного процессуального кодекса Российской Федерации не являются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Санкт-Петербургскому государственному казенному учреждению «Фонд капитального строительства и реконструкции»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