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21.09.2020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 восстановлении срока, судья Верховного Суда Российской Федерации не находит оснований для его удовлетворения. Как усматривается из материалов кассационного производства и текста ходатайства, кассационная жалоба заявителя, поданная 01.09.2020 через систему подачи документов в электронном виде «Мой арбитр», была отклонена в связи с несоблюдением условий, содержащихся в Порядке подачи документов в Верховный Суд Российской Федерации в электронном виде. Нарушение порядка подачи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через систему подачи документов «Мой арбитр» и ее дальнейшее отслеживание находилось в компетенции заявителя, и зависела только от его волеизъявления. В силу пункта 3 части 1 статьи 291.5 Арбитражного процессуального кодекса Российской Федерации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«СеверСпецСтрой»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ООО "Торгсервис" (подробнее) Ответчики: МУНИЦИПАЛЬНОЕ КАЗЕННОЕ УЧРЕЖДЕНИЕ "УПРАВЛЕНИЕ ЖИЛИЩНО-КОММУНАЛЬНЫМ ХОЗЯЙСТВОМ" (подробнее) Иные лица: ООО СеверСпецСтрой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