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«СТРОЙМЕТАЛЛГРУПП» удовлетворить. Срок подачи кассационной жалобы на решение Арбитражного суда города Москвы от 05.07.2019, постановление Девятого арбитражного апелляционного суда от 06.11.2019 и постановление Арбитражного суда Московского округа от 28.02.2020 по делу № А40-126895/2019 восстановить.Судья Верховного Суда Российской Федерации Н.С. Чучунова Суд: Верховный Суд РФ (подробнее) Истцы: АО "ГАЗПРОМ СТРОЙТЭК САЛАВАТ" (подробнее) Ответчики: ООО "СТРОЙМЕТАЛЛГРУПП" (подробнее) Судьи дела: Чучунова Н.С. (судья) (подробнее) Последние документы по делу: Определение от 28 сентября 2020 г. по делу № А40-126895/2019 Определение от 29 июля 2020 г. по делу № А40-126895/2019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