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01.11.2019, оставленным без изменения постановлением Восемнадцатого арбитражного апелляционного суда от 05.02.2020, арбитражный управляющий привлечен к административной ответственности по части 3.1 статьи 14.13 Кодекса Российской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Уральского округа от 17.06.2020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послужили выводы административного органа о повторном нарушении законодательства о банкротстве, выразившемся в непредставлении своевременно собранию кредиторов информации о выявленном имуществе должника; реализации выявленного имущества должника без согласования с собранием кредиторов, в нарушение порядка, установленного собранием кредиторов.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26.10.2002 № 127-ФЗ «О несостоятельности (банкротстве)», принимая во внимание квалифицирующий признак - повторность совершения административного правонарушения,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При этом доводы жалобы о пропуске срока давности привлечения к административной ответственности противоречат Определению Судебной коллегии по экономическим спорам Верховного Суда Российской Федерации от 05.02.2018 № 302-АД17-15232. Учитывая характер совершенного правонарушения, принципы соразмерности и дифференцированности административной ответственности, суды назначили арбитражному управляющему административное наказание в виде дисквалификации сроком на шесть месяцев. Вопреки доводам жалобы повторное совершение однородного административного правонарушения, если оно образует квалифицирующий признак состава правонарушения, предполагает усиление предусмотренной за его совершение санкции - повышение размера конкретного административного наказания и (или) установление более строгого вида наказания, с тем чтобы эффективно обеспечить достижение целей административной ответственности (Определение Конституционного Суда Российской Федерации от 26.10.2017 № 2474-О).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Республике Башкортостан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