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«Continental Construction and Investment Novin Kish» (далее – компания) обратилась в суд с заявлением о включении в реестр требований кредиторов должника его требований в размере 2 962 288 рублей 94 копеек основного долга, 3 112 872 рублей 46 копеек пени, 1 871 382 рублей 60 копеек штрафа, 3 456 873 рублей 65 копеек убытков. Определением Арбитражного суда Республики Башкортостан от 10.09.2019, оставленным без изменения постановлениями Восемнадцатого арбитражного апелляционного суда от 25.12.2019 и Арбитражного суда Уральского округа от 19.06.2020, заявление удовлетворено, указанные требования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суда Республики Башкортостан.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15, 309, 310 и 393 Гражданского кодекса Российской Федерации,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компании с заявленными требованиями, признав наличие причинно-следственной связи между действиями (бездействием) должника и убытками на стороне компании в указанном размере, а также проверив расчёт заявленных требований, пришли к выводу об их обоснованности и подтверждённости, что послужило основанием для удовлетворения заявленных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«Сибайский завод буровых реагентов» Звонаревой Александре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