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31.10.2019, оставленным без изменения постановлениями Девятнадцатого арбитражного апелляционного суда от 29.01.2020 и Арбитражного суда Центрального округа от 09.06.2020, заявление удовлетворено. В жалобе антимонопольный орган ставит вопрос об отмене принятых по делу судебных актов,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 057/01/11-75/2019, возбужденного на основании поступивших материалов Мценской межрайонной прокуратуры Орловской области, антимонопольным органом принято решение от 02.07.2019. Управлением в действиях ИП ФИО1, ИП ФИО2, ИП ФИО3 установлено нарушение пункта 1 части 1 статьи 11 Федерального закона от 26.07.2006 № 135-ФЗ «О защите конкуренции» (далее - Закон о защите конкуренции), выданы предписания о прекращении участия в антиконкурентном соглашении. Основанием для принятия решения послужили выводы антимонопольного органа о заключении и реализации предпринимателями, оказывающими услуги регулярных перевозок на территории города Мценска Орловской области, антиконкурентного соглашения, которое привело к одновременному установлению стоимости проезда в городском пассажирском транспорте в размере 20 рублей. Не согласившись с решением управления от 02.07.2019, ИП ФИО1, ИП ФИО2, ИП ФИО3 обратились в арбитражный суд с соответствующим заявлением. Удовлетворяя заявление предпринимателей,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790 Гражданского кодекса Российской Федерации, статьи 4, пункта 1 части 1 статьи 11 Закона о защите конкуренции, с учетом правовой позиции, изложенной в постановлениях Пленума Высшего Арбитражного Суда Российской Федерации от 30.06.2008 № 30 «О некоторых вопросах, возникающих в связи с применением арбитражными судами антимонопольного законодательства», Президиума Высшего Арбитражного Суда Российской Федерации от 21.12.2010 № 9966/10, пришли к выводу о том, что оспариваемое решение не соответствует действующему законодательству и нарушает права и законные интересы заявителей. Судебные инстанции исходили из того, что антимонопольным органом не представлено доказательств того, что последствия ограничения конкуренции вызваны именно картельным соглашением. При этом суды установили, что повышение стоимости проезда в городском пассажирском транспорте города Мценска является следствием объективных экономических процессов, влияющих на предпринимательскую деятельность каждого из предпринимателей (увеличение стоимости содержания и ремонта транспортных средств, рост цен на топливо и электроэнергию); действия каждого из заявителей по повышению тарифа на перевозку пассажиров экономически обоснованы и фактически не зависят от действий иных хозяйствующих субъектов на данном товарном рынке, хотя формально и были оформлены протоколом собрания от 18.01.2019. Кроме того, суды приняли во внимание, что на территории муниципального образования действует единый проездной билет, стоимость которого и порядок распределения денежных средств между перевозчиками может быть определен только соглашением перевозчиков, а также положения пункта 4.8 Порядка установления (изменения) регулируемых тарифов на перевозки пассажиров и багажа по муниципальным маршрутам регулярных перевозок города Орла, утвержденного решением Орловского городского Совета народных депутатов от 26.10.2017 № 31/0584-ГС, согласно которому установлен регулируемый единый тариф по всем муниципальным маршрутам в размере 20 рублей. Доводы, изложенные в кассационной жалобе (с учетом уточнения), являлись предметом рассмотрения судов, получили надлежащую правовую оценку и не подтверждают существенных нарушений норм материального и норм процессуального права, которые могли повлиять на исход дела. По существу, приведенные доводы выражают несогласие управления с выводами судов по фактическим обстоятельствам настоящего спора и основаны на ином применении к ним положений законодательства, что в силу статьи 291.6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Орловской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Аниканов Юрий Викторович (подробнее) ИП Кирейчева Наталия Александровна (подробнее) ИП Лякишев Андрей Юрьевич (подробнее) Ответчики: Управление Федеральной антимонопольной службы по Орловской области (подробнее) Иные лица: Администрация города Мценска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